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90" w:rsidRDefault="0095726F">
      <w:r>
        <w:rPr>
          <w:noProof/>
          <w:lang w:eastAsia="ru-RU"/>
        </w:rPr>
        <w:drawing>
          <wp:inline distT="0" distB="0" distL="0" distR="0" wp14:anchorId="659293BD" wp14:editId="2A7687C4">
            <wp:extent cx="5940425" cy="90443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C2" w:rsidRPr="000A38C2" w:rsidRDefault="000A38C2" w:rsidP="000A38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8C2" w:rsidRPr="000A38C2" w:rsidRDefault="000A38C2" w:rsidP="000A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8C2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0A38C2" w:rsidRPr="000A38C2" w:rsidRDefault="000A38C2" w:rsidP="000A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8C2">
        <w:rPr>
          <w:rFonts w:ascii="Times New Roman" w:eastAsia="Calibri" w:hAnsi="Times New Roman" w:cs="Times New Roman"/>
          <w:b/>
          <w:sz w:val="28"/>
          <w:szCs w:val="28"/>
        </w:rPr>
        <w:t>МБДОУ-</w:t>
      </w:r>
      <w:proofErr w:type="spellStart"/>
      <w:r w:rsidRPr="000A38C2">
        <w:rPr>
          <w:rFonts w:ascii="Times New Roman" w:eastAsia="Calibri" w:hAnsi="Times New Roman" w:cs="Times New Roman"/>
          <w:b/>
          <w:sz w:val="28"/>
          <w:szCs w:val="28"/>
        </w:rPr>
        <w:t>Хотынецкий</w:t>
      </w:r>
      <w:proofErr w:type="spellEnd"/>
      <w:r w:rsidRPr="000A38C2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«Алёнушка»</w:t>
      </w:r>
    </w:p>
    <w:p w:rsidR="000A38C2" w:rsidRPr="000A38C2" w:rsidRDefault="000A38C2" w:rsidP="000A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8C2" w:rsidRPr="000A38C2" w:rsidRDefault="000A38C2" w:rsidP="000A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8C2"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</w:p>
    <w:p w:rsidR="000A38C2" w:rsidRPr="000A38C2" w:rsidRDefault="000A38C2" w:rsidP="000A3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8C2" w:rsidRPr="000A38C2" w:rsidRDefault="000A38C2" w:rsidP="000A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0A38C2" w:rsidRPr="000A38C2" w:rsidRDefault="000A38C2" w:rsidP="000A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8C2" w:rsidRPr="000A38C2" w:rsidRDefault="000A38C2" w:rsidP="000A3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Calibri" w:eastAsia="Calibri" w:hAnsi="Calibri" w:cs="Times New Roman"/>
        </w:rPr>
        <w:t xml:space="preserve">        </w:t>
      </w: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образовательном процессе МБДОУ </w:t>
      </w:r>
      <w:proofErr w:type="gramStart"/>
      <w:r w:rsidRPr="000A38C2">
        <w:rPr>
          <w:rFonts w:ascii="Times New Roman" w:eastAsia="Calibri" w:hAnsi="Times New Roman" w:cs="Times New Roman"/>
          <w:sz w:val="24"/>
          <w:szCs w:val="24"/>
        </w:rPr>
        <w:t>реализуется  основная</w:t>
      </w:r>
      <w:proofErr w:type="gramEnd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МБДОУ - </w:t>
      </w:r>
      <w:proofErr w:type="spellStart"/>
      <w:r w:rsidRPr="000A38C2">
        <w:rPr>
          <w:rFonts w:ascii="Times New Roman" w:eastAsia="Calibri" w:hAnsi="Times New Roman" w:cs="Times New Roman"/>
          <w:sz w:val="24"/>
          <w:szCs w:val="24"/>
        </w:rPr>
        <w:t>Хотынецкий</w:t>
      </w:r>
      <w:proofErr w:type="spellEnd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детский сад «Алёнушка», которая   разработана в соответствии с Федеральным Государственным  образовательным стандартом </w:t>
      </w:r>
      <w:bookmarkStart w:id="0" w:name="_GoBack"/>
      <w:bookmarkEnd w:id="0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дошкольного образования 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A38C2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0A38C2">
        <w:rPr>
          <w:rFonts w:ascii="Times New Roman" w:eastAsia="Calibri" w:hAnsi="Times New Roman" w:cs="Times New Roman"/>
          <w:sz w:val="24"/>
          <w:szCs w:val="24"/>
        </w:rPr>
        <w:t>. №1155),  Федеральной образовательной программой дошкольного образования (далее ФОП ДО).</w:t>
      </w:r>
    </w:p>
    <w:p w:rsidR="000A38C2" w:rsidRPr="000A38C2" w:rsidRDefault="000A38C2" w:rsidP="000A3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Calibri" w:eastAsia="Calibri" w:hAnsi="Calibri" w:cs="Times New Roman"/>
        </w:rPr>
        <w:t xml:space="preserve">        </w:t>
      </w: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является обязательной частью основной образовательной программы МБДОУ – </w:t>
      </w:r>
      <w:proofErr w:type="spellStart"/>
      <w:r w:rsidRPr="000A38C2">
        <w:rPr>
          <w:rFonts w:ascii="Times New Roman" w:eastAsia="Calibri" w:hAnsi="Times New Roman" w:cs="Times New Roman"/>
          <w:sz w:val="24"/>
          <w:szCs w:val="24"/>
        </w:rPr>
        <w:t>Хотынецкий</w:t>
      </w:r>
      <w:proofErr w:type="spellEnd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детский </w:t>
      </w:r>
      <w:proofErr w:type="gramStart"/>
      <w:r w:rsidRPr="000A38C2">
        <w:rPr>
          <w:rFonts w:ascii="Times New Roman" w:eastAsia="Calibri" w:hAnsi="Times New Roman" w:cs="Times New Roman"/>
          <w:sz w:val="24"/>
          <w:szCs w:val="24"/>
        </w:rPr>
        <w:t>сад  «</w:t>
      </w:r>
      <w:proofErr w:type="gramEnd"/>
      <w:r w:rsidRPr="000A38C2">
        <w:rPr>
          <w:rFonts w:ascii="Times New Roman" w:eastAsia="Calibri" w:hAnsi="Times New Roman" w:cs="Times New Roman"/>
          <w:sz w:val="24"/>
          <w:szCs w:val="24"/>
        </w:rPr>
        <w:t>Алёнушка» (далее – МБДОУ).                                                                  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использована 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от «01» июля 2021 № 2/21)</w:t>
      </w:r>
    </w:p>
    <w:p w:rsidR="000A38C2" w:rsidRPr="000A38C2" w:rsidRDefault="000A38C2" w:rsidP="000A38C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      Содержание </w:t>
      </w:r>
      <w:proofErr w:type="spellStart"/>
      <w:r w:rsidRPr="000A38C2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</w:t>
      </w:r>
      <w:proofErr w:type="gramStart"/>
      <w:r w:rsidRPr="000A38C2">
        <w:rPr>
          <w:rFonts w:ascii="Times New Roman" w:eastAsia="Calibri" w:hAnsi="Times New Roman" w:cs="Times New Roman"/>
          <w:sz w:val="24"/>
          <w:szCs w:val="24"/>
        </w:rPr>
        <w:t>работы  с</w:t>
      </w:r>
      <w:proofErr w:type="gramEnd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детьми 1.6 - 8 лет дается по 5 образовательным областям «Социально-коммуникативное развитие», «Познавательное развитие», «Речевое развитие», «Художественно-эстетическое развитие», «Физическое развитие» и ориентировано на разностороннее развитие дошкольников с учетом их возрастных и индивидуальных особенностей. </w:t>
      </w:r>
    </w:p>
    <w:p w:rsidR="000A38C2" w:rsidRPr="000A38C2" w:rsidRDefault="000A38C2" w:rsidP="000A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Непрерывная непосредственно организованная образовательная деятельность планируется по возрастным группам с учетом санитарных норм. Опираясь на </w:t>
      </w:r>
      <w:proofErr w:type="spellStart"/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учитывали максимально допустимый объем недельной образовательной нагрузки при включении реализации дополнительных образовательных услуг.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A38C2" w:rsidRPr="000A38C2" w:rsidRDefault="000A38C2" w:rsidP="000A3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для детей </w:t>
      </w:r>
      <w:r w:rsidRPr="000A38C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младшей </w:t>
      </w:r>
      <w:proofErr w:type="gramStart"/>
      <w:r w:rsidRPr="000A38C2">
        <w:rPr>
          <w:rFonts w:ascii="Times New Roman" w:eastAsia="Calibri" w:hAnsi="Times New Roman" w:cs="Times New Roman"/>
          <w:sz w:val="24"/>
          <w:szCs w:val="24"/>
        </w:rPr>
        <w:t>группы  –</w:t>
      </w:r>
      <w:proofErr w:type="gramEnd"/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90 минут в неделю;</w:t>
      </w:r>
    </w:p>
    <w:p w:rsidR="000A38C2" w:rsidRPr="000A38C2" w:rsidRDefault="000A38C2" w:rsidP="000A3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для детей </w:t>
      </w:r>
      <w:r w:rsidRPr="000A38C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младшей группы – 165 минут в неделю;</w:t>
      </w:r>
    </w:p>
    <w:p w:rsidR="000A38C2" w:rsidRPr="000A38C2" w:rsidRDefault="000A38C2" w:rsidP="000A3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для детей средней группы – 240 минут в неделю;</w:t>
      </w:r>
    </w:p>
    <w:p w:rsidR="000A38C2" w:rsidRPr="000A38C2" w:rsidRDefault="000A38C2" w:rsidP="000A3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для детей старшей группы – 375 минут в неделю;</w:t>
      </w:r>
    </w:p>
    <w:p w:rsidR="000A38C2" w:rsidRPr="000A38C2" w:rsidRDefault="000A38C2" w:rsidP="000A3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для детей подготовительной группы –510 минут в неделю.</w:t>
      </w:r>
    </w:p>
    <w:p w:rsidR="000A38C2" w:rsidRPr="000A38C2" w:rsidRDefault="000A38C2" w:rsidP="000A3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  Продолжительность непрерывной непосредственно образовательной деятельности:</w:t>
      </w:r>
    </w:p>
    <w:p w:rsidR="000A38C2" w:rsidRPr="000A38C2" w:rsidRDefault="000A38C2" w:rsidP="000A38C2">
      <w:pPr>
        <w:spacing w:after="20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        - для детей раннего возраста – не более 10 минут;                                                                                     - для детей 4-го года жизни - не более 15 минут;                                                                                     - для детей 5-го года жизни - не более 20 минут;                                                                                    - для детей 6-го года жизни - не более 25 минут;                                                                                   -  для детей 7-го года жизни - не более 30 минут. </w:t>
      </w:r>
    </w:p>
    <w:p w:rsidR="000A38C2" w:rsidRPr="000A38C2" w:rsidRDefault="000A38C2" w:rsidP="000A3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дня:</w:t>
      </w:r>
    </w:p>
    <w:p w:rsidR="000A38C2" w:rsidRPr="000A38C2" w:rsidRDefault="000A38C2" w:rsidP="000A3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младшей группе 30 минут;                                                                                                                             - в средней группе 40 минут;                                                                                                                              - в старшей группе 50 минут;                                                                                                                              - в подготовительной группе 1, 5 часа. </w:t>
      </w:r>
    </w:p>
    <w:p w:rsidR="000A38C2" w:rsidRPr="000A38C2" w:rsidRDefault="000A38C2" w:rsidP="000A3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0A38C2" w:rsidRPr="000A38C2" w:rsidRDefault="000A38C2" w:rsidP="000A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составляет не более 25 - 30 минут в день. В середине непосредственно образовательной деятельности статического характера проводят физкультминутку. </w:t>
      </w:r>
    </w:p>
    <w:p w:rsidR="000A38C2" w:rsidRPr="000A38C2" w:rsidRDefault="000A38C2" w:rsidP="000A3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Домашние задания воспитанникам МБДОУ не задаются.</w:t>
      </w:r>
    </w:p>
    <w:p w:rsidR="000A38C2" w:rsidRPr="000A38C2" w:rsidRDefault="000A38C2" w:rsidP="000A3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Музыкальные руководители работают по парциальной Программе музыкального воспитания детей дошкольного возраста «Ладушки» И. М. </w:t>
      </w:r>
      <w:proofErr w:type="spellStart"/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3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  Педагогам предоставляется право варьировать место НОД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0A38C2" w:rsidRPr="000A38C2" w:rsidRDefault="000A38C2" w:rsidP="000A38C2">
      <w:pPr>
        <w:spacing w:before="30"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t>Структура образовательного года</w:t>
      </w:r>
    </w:p>
    <w:p w:rsidR="000A38C2" w:rsidRPr="000A38C2" w:rsidRDefault="000A38C2" w:rsidP="000A38C2">
      <w:pPr>
        <w:spacing w:before="3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Начало образовательного года -  1 сентября:</w:t>
      </w:r>
    </w:p>
    <w:p w:rsidR="000A38C2" w:rsidRPr="000A38C2" w:rsidRDefault="000A38C2" w:rsidP="000A38C2">
      <w:pPr>
        <w:spacing w:before="3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с 1 сентября по 24 декабря – образовательный период;</w:t>
      </w:r>
    </w:p>
    <w:p w:rsidR="000A38C2" w:rsidRPr="000A38C2" w:rsidRDefault="000A38C2" w:rsidP="000A38C2">
      <w:pPr>
        <w:spacing w:before="3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с 25 декабря по 8 января – новогодние "творческие" каникулы – это время, когда воспитатели и специалисты проводят праздники, соревнования;</w:t>
      </w:r>
    </w:p>
    <w:p w:rsidR="000A38C2" w:rsidRPr="000A38C2" w:rsidRDefault="000A38C2" w:rsidP="000A38C2">
      <w:pPr>
        <w:spacing w:before="3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с 9 января по 31 мая – образовательный период;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с 1 июня по 31 августа – летний оздоровительный период.</w:t>
      </w:r>
    </w:p>
    <w:p w:rsidR="000A38C2" w:rsidRPr="000A38C2" w:rsidRDefault="000A38C2" w:rsidP="000A38C2">
      <w:pPr>
        <w:spacing w:after="20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Структура образовательного процесса в МБДОУ.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Учебный день делится на три блока: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t>Утренний образовательный блок</w:t>
      </w: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– продолжительность с 7.45 до 9.00 часов – включает в себя: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Совместную деятельность воспитателя с ребенком,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Свободную самостоятельную игровую деятельность детей;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8C2">
        <w:rPr>
          <w:rFonts w:ascii="Times New Roman" w:eastAsia="Calibri" w:hAnsi="Times New Roman" w:cs="Times New Roman"/>
          <w:b/>
          <w:sz w:val="24"/>
          <w:szCs w:val="24"/>
        </w:rPr>
        <w:t>Развивающий блок</w:t>
      </w: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– продолжительность с 9.00 до 12.00 часов – представляет собой НОД согласно учебному плану.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t>Вечерний блок</w:t>
      </w:r>
      <w:r w:rsidRPr="000A38C2">
        <w:rPr>
          <w:rFonts w:ascii="Times New Roman" w:eastAsia="Calibri" w:hAnsi="Times New Roman" w:cs="Times New Roman"/>
          <w:sz w:val="24"/>
          <w:szCs w:val="24"/>
        </w:rPr>
        <w:t>– продолжительность с 15.15.  до 18.15 часов – включает в себя: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- Кружковая деятельность / индивидуальная работа 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- Самостоятельную игровую деятельность ребенка  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>-  Совместную деятельность воспитателя и ребенка</w:t>
      </w:r>
    </w:p>
    <w:p w:rsidR="000A38C2" w:rsidRPr="000A38C2" w:rsidRDefault="000A38C2" w:rsidP="000A38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C2">
        <w:rPr>
          <w:rFonts w:ascii="Times New Roman" w:eastAsia="Calibri" w:hAnsi="Times New Roman" w:cs="Times New Roman"/>
          <w:sz w:val="24"/>
          <w:szCs w:val="24"/>
        </w:rPr>
        <w:t xml:space="preserve">   Педагогам предоставляется право варьировать место НОД в педагогическом процессе, интегрируя (объединяя) содержание различных видов занятий в зависимости от поставленных </w:t>
      </w:r>
      <w:r w:rsidRPr="000A38C2">
        <w:rPr>
          <w:rFonts w:ascii="Times New Roman" w:eastAsia="Calibri" w:hAnsi="Times New Roman" w:cs="Times New Roman"/>
          <w:sz w:val="24"/>
          <w:szCs w:val="24"/>
        </w:rPr>
        <w:lastRenderedPageBreak/>
        <w:t>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0A38C2" w:rsidRPr="000A38C2" w:rsidRDefault="000A38C2" w:rsidP="000A38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8C2" w:rsidRPr="000A38C2" w:rsidRDefault="000A38C2" w:rsidP="000A38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t>Планирование НОД на неделю для групп общеразвивающей направленности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517"/>
        <w:gridCol w:w="1080"/>
        <w:gridCol w:w="1080"/>
        <w:gridCol w:w="1245"/>
        <w:gridCol w:w="1134"/>
        <w:gridCol w:w="1134"/>
        <w:gridCol w:w="1145"/>
      </w:tblGrid>
      <w:tr w:rsidR="000A38C2" w:rsidRPr="000A38C2" w:rsidTr="00BB0681">
        <w:trPr>
          <w:trHeight w:val="740"/>
          <w:jc w:val="center"/>
        </w:trPr>
        <w:tc>
          <w:tcPr>
            <w:tcW w:w="1722" w:type="dxa"/>
            <w:vMerge w:val="restart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17" w:type="dxa"/>
            <w:vMerge w:val="restart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непосредственно образовательной деятельности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группа ран. возраста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1-ая младшая      группа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2-ая младшая      группа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 школе группа</w:t>
            </w:r>
          </w:p>
        </w:tc>
      </w:tr>
      <w:tr w:rsidR="000A38C2" w:rsidRPr="000A38C2" w:rsidTr="00BB0681">
        <w:trPr>
          <w:trHeight w:val="273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8" w:type="dxa"/>
            <w:gridSpan w:val="6"/>
            <w:tcBorders>
              <w:top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видов НОД в неделю</w:t>
            </w:r>
          </w:p>
        </w:tc>
      </w:tr>
      <w:tr w:rsidR="000A38C2" w:rsidRPr="000A38C2" w:rsidTr="00BB0681">
        <w:trPr>
          <w:trHeight w:val="386"/>
          <w:jc w:val="center"/>
        </w:trPr>
        <w:tc>
          <w:tcPr>
            <w:tcW w:w="1722" w:type="dxa"/>
            <w:vMerge w:val="restart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</w:t>
            </w: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Формирование  элементарных математических представлений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A38C2" w:rsidRPr="000A38C2" w:rsidTr="00BB0681">
        <w:trPr>
          <w:trHeight w:val="386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Формирование целостной картины мира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BB0681">
        <w:trPr>
          <w:trHeight w:val="1228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BB0681">
        <w:trPr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BB0681">
        <w:trPr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Подготовка к обучению грамоте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BB0681">
        <w:trPr>
          <w:trHeight w:val="535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Чтение художественной  литературы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BB0681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A38C2" w:rsidRPr="000A38C2" w:rsidTr="00BB0681">
        <w:trPr>
          <w:trHeight w:val="495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Музыкальное воспитание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A38C2" w:rsidRPr="000A38C2" w:rsidTr="00BB0681">
        <w:trPr>
          <w:trHeight w:val="392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A38C2" w:rsidRPr="000A38C2" w:rsidTr="00BB0681">
        <w:trPr>
          <w:trHeight w:val="413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A38C2" w:rsidRPr="000A38C2" w:rsidTr="00BB0681">
        <w:trPr>
          <w:trHeight w:val="418"/>
          <w:jc w:val="center"/>
        </w:trPr>
        <w:tc>
          <w:tcPr>
            <w:tcW w:w="1722" w:type="dxa"/>
            <w:vMerge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Аппликация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A38C2" w:rsidRPr="000A38C2" w:rsidTr="00BB0681">
        <w:trPr>
          <w:trHeight w:val="310"/>
          <w:jc w:val="center"/>
        </w:trPr>
        <w:tc>
          <w:tcPr>
            <w:tcW w:w="1722" w:type="dxa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ind w:left="3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A38C2" w:rsidRPr="000A38C2" w:rsidTr="00BB0681">
        <w:trPr>
          <w:jc w:val="center"/>
        </w:trPr>
        <w:tc>
          <w:tcPr>
            <w:tcW w:w="1722" w:type="dxa"/>
          </w:tcPr>
          <w:p w:rsidR="000A38C2" w:rsidRPr="000A38C2" w:rsidRDefault="000A38C2" w:rsidP="000A38C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время в неделю 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165 минут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240 минут</w:t>
            </w:r>
          </w:p>
        </w:tc>
        <w:tc>
          <w:tcPr>
            <w:tcW w:w="1134" w:type="dxa"/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минут </w:t>
            </w:r>
          </w:p>
        </w:tc>
        <w:tc>
          <w:tcPr>
            <w:tcW w:w="1145" w:type="dxa"/>
          </w:tcPr>
          <w:p w:rsidR="000A38C2" w:rsidRPr="000A38C2" w:rsidRDefault="000A38C2" w:rsidP="000A38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>480 минут</w:t>
            </w:r>
          </w:p>
        </w:tc>
      </w:tr>
    </w:tbl>
    <w:p w:rsidR="000A38C2" w:rsidRPr="000A38C2" w:rsidRDefault="000A38C2" w:rsidP="000A38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8C2" w:rsidRPr="000A38C2" w:rsidRDefault="000A38C2" w:rsidP="000A38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8C2" w:rsidRPr="000A38C2" w:rsidRDefault="000A38C2" w:rsidP="000A38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8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Планирование НОД на неделю для групп, реализующих образовательную программу дошкольного образования и </w:t>
      </w:r>
      <w:proofErr w:type="gramStart"/>
      <w:r w:rsidRPr="000A38C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 </w:t>
      </w:r>
      <w:proofErr w:type="spellStart"/>
      <w:r w:rsidRPr="000A38C2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proofErr w:type="spellEnd"/>
      <w:proofErr w:type="gramEnd"/>
      <w:r w:rsidRPr="000A38C2">
        <w:rPr>
          <w:rFonts w:ascii="Times New Roman" w:eastAsia="Calibri" w:hAnsi="Times New Roman" w:cs="Times New Roman"/>
          <w:b/>
          <w:sz w:val="24"/>
          <w:szCs w:val="24"/>
        </w:rPr>
        <w:t xml:space="preserve"> - развивающего обучения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8"/>
        <w:gridCol w:w="2536"/>
        <w:gridCol w:w="300"/>
        <w:gridCol w:w="577"/>
        <w:gridCol w:w="209"/>
        <w:gridCol w:w="814"/>
        <w:gridCol w:w="832"/>
        <w:gridCol w:w="914"/>
        <w:gridCol w:w="7"/>
        <w:gridCol w:w="867"/>
        <w:gridCol w:w="7"/>
        <w:gridCol w:w="1214"/>
      </w:tblGrid>
      <w:tr w:rsidR="000A38C2" w:rsidRPr="000A38C2" w:rsidTr="000A38C2">
        <w:trPr>
          <w:trHeight w:val="35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Образовательные области 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непосредственно образовательной деятельности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Количество занятий в неделю</w:t>
            </w:r>
          </w:p>
        </w:tc>
      </w:tr>
      <w:tr w:rsidR="000A38C2" w:rsidRPr="000A38C2" w:rsidTr="000A38C2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A38C2" w:rsidRPr="000A38C2" w:rsidTr="000A38C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пер.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пер.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3пер.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пер.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пер.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пер.</w:t>
            </w:r>
          </w:p>
        </w:tc>
      </w:tr>
      <w:tr w:rsidR="000A38C2" w:rsidRPr="000A38C2" w:rsidTr="000A38C2">
        <w:trPr>
          <w:trHeight w:val="27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Обязательная часть</w:t>
            </w:r>
          </w:p>
        </w:tc>
      </w:tr>
      <w:tr w:rsidR="000A38C2" w:rsidRPr="000A38C2" w:rsidTr="000A38C2">
        <w:trPr>
          <w:trHeight w:val="10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</w:t>
            </w:r>
            <w:r w:rsidRPr="000A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Ребёнок и окружающий мир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0A38C2">
        <w:trPr>
          <w:trHeight w:val="123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A38C2" w:rsidRPr="000A38C2" w:rsidTr="000A38C2">
        <w:trPr>
          <w:trHeight w:val="324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Конструктивная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0,25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A38C2" w:rsidRPr="000A38C2" w:rsidTr="000A38C2">
        <w:trPr>
          <w:trHeight w:val="30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развитие, коррекция нарушений речевого развития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8C2" w:rsidRPr="000A38C2" w:rsidTr="000A38C2">
        <w:trPr>
          <w:trHeight w:val="30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Графика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A38C2" w:rsidRPr="000A38C2" w:rsidTr="000A38C2">
        <w:trPr>
          <w:trHeight w:val="30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Печатание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  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  1</w:t>
            </w:r>
          </w:p>
        </w:tc>
      </w:tr>
      <w:tr w:rsidR="000A38C2" w:rsidRPr="000A38C2" w:rsidTr="000A38C2">
        <w:trPr>
          <w:trHeight w:val="30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Логопедическое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A38C2" w:rsidRPr="000A38C2" w:rsidTr="000A38C2">
        <w:trPr>
          <w:trHeight w:val="30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A38C2" w:rsidRPr="000A38C2" w:rsidTr="000A38C2">
        <w:trPr>
          <w:trHeight w:val="503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A38C2" w:rsidRPr="000A38C2" w:rsidTr="000A38C2">
        <w:trPr>
          <w:trHeight w:val="346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Аппликация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0.5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A38C2" w:rsidRPr="000A38C2" w:rsidTr="000A38C2">
        <w:trPr>
          <w:trHeight w:val="435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Музыкальное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A38C2" w:rsidRPr="000A38C2" w:rsidTr="000A38C2">
        <w:trPr>
          <w:trHeight w:val="59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A38C2" w:rsidRPr="000A38C2" w:rsidTr="000A38C2">
        <w:trPr>
          <w:trHeight w:val="30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16</w:t>
            </w:r>
          </w:p>
        </w:tc>
      </w:tr>
      <w:tr w:rsidR="000A38C2" w:rsidRPr="000A38C2" w:rsidTr="000A38C2">
        <w:trPr>
          <w:trHeight w:val="309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0A3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Часть, формируемая ДОУ</w:t>
            </w:r>
          </w:p>
        </w:tc>
      </w:tr>
      <w:tr w:rsidR="000A38C2" w:rsidRPr="000A38C2" w:rsidTr="000A38C2">
        <w:trPr>
          <w:trHeight w:val="32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Коррекционное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   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8C2">
              <w:rPr>
                <w:rFonts w:ascii="Times New Roman" w:eastAsia="Calibri" w:hAnsi="Times New Roman" w:cs="Times New Roman"/>
              </w:rPr>
              <w:t xml:space="preserve">       2</w:t>
            </w:r>
          </w:p>
        </w:tc>
      </w:tr>
      <w:tr w:rsidR="000A38C2" w:rsidRPr="000A38C2" w:rsidTr="000A38C2">
        <w:trPr>
          <w:trHeight w:val="58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2" w:rsidRPr="000A38C2" w:rsidRDefault="000A38C2" w:rsidP="000A3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17</w:t>
            </w:r>
          </w:p>
        </w:tc>
      </w:tr>
    </w:tbl>
    <w:p w:rsidR="000A38C2" w:rsidRPr="000A38C2" w:rsidRDefault="000A38C2" w:rsidP="000A38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5726F" w:rsidRDefault="0095726F"/>
    <w:sectPr w:rsidR="0095726F" w:rsidSect="009572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EB6"/>
    <w:multiLevelType w:val="hybridMultilevel"/>
    <w:tmpl w:val="7AF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B"/>
    <w:rsid w:val="0003742B"/>
    <w:rsid w:val="000A38C2"/>
    <w:rsid w:val="0095726F"/>
    <w:rsid w:val="00E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C798E"/>
  <w15:chartTrackingRefBased/>
  <w15:docId w15:val="{12AE41C4-A480-4413-B2AE-C06DA0F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2023-09-13T18:45:00Z</dcterms:created>
  <dcterms:modified xsi:type="dcterms:W3CDTF">2023-09-13T19:01:00Z</dcterms:modified>
</cp:coreProperties>
</file>